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eastAsia="宋体" w:cs="Times New Roman"/>
          <w:b/>
          <w:bCs/>
          <w:sz w:val="44"/>
          <w:szCs w:val="44"/>
          <w:lang w:val="en-US" w:eastAsia="zh-CN"/>
        </w:rPr>
      </w:pPr>
      <w:r>
        <w:rPr>
          <w:rFonts w:hint="eastAsia" w:ascii="宋体" w:hAnsi="宋体" w:cs="宋体"/>
          <w:b/>
          <w:bCs/>
          <w:sz w:val="44"/>
          <w:szCs w:val="44"/>
        </w:rPr>
        <w:t>香河县司法局</w:t>
      </w:r>
      <w:r>
        <w:rPr>
          <w:rFonts w:hint="eastAsia" w:ascii="宋体" w:hAnsi="宋体" w:cs="宋体"/>
          <w:b/>
          <w:bCs/>
          <w:sz w:val="44"/>
          <w:szCs w:val="44"/>
          <w:lang w:eastAsia="zh-CN"/>
        </w:rPr>
        <w:t>2019年</w:t>
      </w:r>
      <w:r>
        <w:rPr>
          <w:rFonts w:hint="eastAsia" w:ascii="宋体" w:hAnsi="宋体" w:cs="宋体"/>
          <w:b/>
          <w:bCs/>
          <w:sz w:val="44"/>
          <w:szCs w:val="44"/>
        </w:rPr>
        <w:t>部门预算公开</w:t>
      </w:r>
      <w:r>
        <w:rPr>
          <w:rFonts w:hint="eastAsia" w:ascii="宋体" w:hAnsi="宋体" w:cs="宋体"/>
          <w:b/>
          <w:bCs/>
          <w:sz w:val="44"/>
          <w:szCs w:val="44"/>
          <w:lang w:val="en-US" w:eastAsia="zh-CN"/>
        </w:rPr>
        <w:t>情况说明</w:t>
      </w:r>
    </w:p>
    <w:p>
      <w:pPr>
        <w:ind w:firstLine="883" w:firstLineChars="200"/>
        <w:jc w:val="center"/>
        <w:rPr>
          <w:rFonts w:ascii="宋体" w:cs="Times New Roman"/>
          <w:b/>
          <w:bCs/>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按照《预算法》、《地方预决算公开操作规程》和《河北省省级预算公开办法》规定，现将香河县司法局</w:t>
      </w:r>
      <w:r>
        <w:rPr>
          <w:rFonts w:hint="eastAsia" w:ascii="仿宋" w:hAnsi="仿宋" w:eastAsia="仿宋" w:cs="仿宋"/>
          <w:sz w:val="32"/>
          <w:szCs w:val="32"/>
          <w:lang w:eastAsia="zh-CN"/>
        </w:rPr>
        <w:t>2019年</w:t>
      </w:r>
      <w:r>
        <w:rPr>
          <w:rFonts w:hint="eastAsia" w:ascii="仿宋" w:hAnsi="仿宋" w:eastAsia="仿宋" w:cs="仿宋"/>
          <w:sz w:val="32"/>
          <w:szCs w:val="32"/>
        </w:rPr>
        <w:t>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30" w:firstLineChars="196"/>
        <w:rPr>
          <w:rFonts w:ascii="仿宋" w:hAnsi="仿宋" w:eastAsia="仿宋" w:cs="Times New Roman"/>
          <w:b/>
          <w:bCs/>
          <w:sz w:val="32"/>
          <w:szCs w:val="32"/>
        </w:rPr>
      </w:pPr>
      <w:r>
        <w:rPr>
          <w:rFonts w:hint="eastAsia" w:ascii="仿宋" w:hAnsi="仿宋" w:eastAsia="仿宋" w:cs="仿宋"/>
          <w:b/>
          <w:bCs/>
          <w:sz w:val="32"/>
          <w:szCs w:val="32"/>
        </w:rPr>
        <w:t>部门职责：</w:t>
      </w:r>
    </w:p>
    <w:p>
      <w:pPr>
        <w:ind w:firstLine="627" w:firstLineChars="196"/>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、制订全县司法行政系统规章、制度，编制全县司法行政工作中期规划、年度计划，并监督实施；</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、制订全县法制宣传、普及法律常识的规划并组织实施，指导全县各乡镇和行业开展依法治理工作；</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、管理全县法学教育工作，对全县司法行政系统干警进行岗位培训；</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、监督和指导全县律师工作和法律顾问工作，对全县法律服务机构进行管理；</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、监督和指导全县公证业务工作；</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、指导全县人民调解工作、司法所建设和乡镇法律服务工作的开展；</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、指导并开展法律援助工作；</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、对局机关和下属单位的经费和国有资产进行管理、监督和审计；</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、接受县人大、政府对部门有关法规、规章的咨询；</w:t>
      </w:r>
    </w:p>
    <w:p>
      <w:pPr>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、管理和指导全县司法行政系统队伍建设和思想政治工作；</w:t>
      </w:r>
    </w:p>
    <w:p>
      <w:pPr>
        <w:ind w:firstLine="640" w:firstLineChars="200"/>
        <w:rPr>
          <w:rFonts w:ascii="仿宋" w:hAnsi="仿宋" w:eastAsia="仿宋" w:cs="Times New Roman"/>
          <w:sz w:val="32"/>
          <w:szCs w:val="32"/>
        </w:rPr>
      </w:pPr>
      <w:r>
        <w:rPr>
          <w:rFonts w:ascii="仿宋" w:hAnsi="仿宋" w:eastAsia="仿宋" w:cs="仿宋"/>
          <w:sz w:val="32"/>
          <w:szCs w:val="32"/>
        </w:rPr>
        <w:t>11</w:t>
      </w:r>
      <w:r>
        <w:rPr>
          <w:rFonts w:hint="eastAsia" w:ascii="仿宋" w:hAnsi="仿宋" w:eastAsia="仿宋" w:cs="仿宋"/>
          <w:sz w:val="32"/>
          <w:szCs w:val="32"/>
        </w:rPr>
        <w:t>、组织实施全县司法考试工作；</w:t>
      </w:r>
    </w:p>
    <w:p>
      <w:pPr>
        <w:ind w:firstLine="640" w:firstLineChars="200"/>
        <w:rPr>
          <w:rFonts w:ascii="仿宋" w:hAnsi="仿宋" w:eastAsia="仿宋" w:cs="Times New Roman"/>
          <w:sz w:val="32"/>
          <w:szCs w:val="32"/>
        </w:rPr>
      </w:pPr>
      <w:r>
        <w:rPr>
          <w:rFonts w:ascii="仿宋" w:hAnsi="仿宋" w:eastAsia="仿宋" w:cs="仿宋"/>
          <w:sz w:val="32"/>
          <w:szCs w:val="32"/>
        </w:rPr>
        <w:t>12</w:t>
      </w:r>
      <w:r>
        <w:rPr>
          <w:rFonts w:hint="eastAsia" w:ascii="仿宋" w:hAnsi="仿宋" w:eastAsia="仿宋" w:cs="仿宋"/>
          <w:sz w:val="32"/>
          <w:szCs w:val="32"/>
        </w:rPr>
        <w:t>、承担县政府和上级机关交办的其他事项。</w:t>
      </w:r>
    </w:p>
    <w:p>
      <w:pPr>
        <w:ind w:firstLine="643" w:firstLineChars="200"/>
        <w:rPr>
          <w:rFonts w:ascii="仿宋" w:hAnsi="仿宋" w:eastAsia="仿宋" w:cs="Times New Roman"/>
          <w:sz w:val="32"/>
          <w:szCs w:val="32"/>
        </w:rPr>
      </w:pPr>
      <w:r>
        <w:rPr>
          <w:rFonts w:hint="eastAsia" w:ascii="仿宋" w:hAnsi="仿宋" w:eastAsia="仿宋" w:cs="仿宋"/>
          <w:b/>
          <w:bCs/>
          <w:sz w:val="32"/>
          <w:szCs w:val="32"/>
        </w:rPr>
        <w:t>机构设置：</w:t>
      </w:r>
    </w:p>
    <w:p>
      <w:pPr>
        <w:ind w:firstLine="5920" w:firstLineChars="1850"/>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4443"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香河县司法局</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正科级</w:t>
            </w:r>
          </w:p>
        </w:tc>
        <w:tc>
          <w:tcPr>
            <w:tcW w:w="2902"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财政拨款</w:t>
            </w:r>
          </w:p>
        </w:tc>
      </w:tr>
    </w:tbl>
    <w:p>
      <w:pPr>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按照预算管理有关规定，目前我县部门预算的编制实行综合预算制度，即全部收入和支出都反映在预算中。</w:t>
      </w:r>
    </w:p>
    <w:p>
      <w:pPr>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rPr>
          <w:rFonts w:ascii="仿宋" w:hAnsi="仿宋" w:eastAsia="仿宋" w:cs="Times New Roman"/>
          <w:sz w:val="32"/>
          <w:szCs w:val="32"/>
        </w:rPr>
      </w:pPr>
      <w:r>
        <w:rPr>
          <w:rFonts w:hint="eastAsia" w:ascii="仿宋" w:hAnsi="仿宋" w:eastAsia="仿宋" w:cs="仿宋"/>
          <w:sz w:val="32"/>
          <w:szCs w:val="32"/>
        </w:rPr>
        <w:t>反映本部门当年全部收入。</w:t>
      </w:r>
      <w:r>
        <w:rPr>
          <w:rFonts w:hint="eastAsia" w:ascii="仿宋" w:hAnsi="仿宋" w:eastAsia="仿宋" w:cs="仿宋"/>
          <w:sz w:val="32"/>
          <w:szCs w:val="32"/>
          <w:lang w:eastAsia="zh-CN"/>
        </w:rPr>
        <w:t>2019年</w:t>
      </w:r>
      <w:r>
        <w:rPr>
          <w:rFonts w:hint="eastAsia" w:ascii="仿宋" w:hAnsi="仿宋" w:eastAsia="仿宋" w:cs="仿宋"/>
          <w:sz w:val="32"/>
          <w:szCs w:val="32"/>
        </w:rPr>
        <w:t>预算收入总额</w:t>
      </w:r>
      <w:r>
        <w:rPr>
          <w:rFonts w:hint="eastAsia" w:ascii="仿宋" w:hAnsi="仿宋" w:eastAsia="仿宋" w:cs="仿宋"/>
          <w:sz w:val="32"/>
          <w:szCs w:val="32"/>
          <w:lang w:val="en-US" w:eastAsia="zh-CN"/>
        </w:rPr>
        <w:t>1469.83</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1469.83</w:t>
      </w:r>
      <w:r>
        <w:rPr>
          <w:rFonts w:hint="eastAsia" w:ascii="仿宋" w:hAnsi="仿宋" w:eastAsia="仿宋" w:cs="仿宋"/>
          <w:sz w:val="32"/>
          <w:szCs w:val="32"/>
        </w:rPr>
        <w:t>万元（包括一般公共预算</w:t>
      </w:r>
      <w:r>
        <w:rPr>
          <w:rFonts w:hint="eastAsia" w:ascii="仿宋" w:hAnsi="仿宋" w:eastAsia="仿宋" w:cs="仿宋"/>
          <w:sz w:val="32"/>
          <w:szCs w:val="32"/>
          <w:lang w:val="en-US" w:eastAsia="zh-CN"/>
        </w:rPr>
        <w:t>1469.83</w:t>
      </w:r>
      <w:r>
        <w:rPr>
          <w:rFonts w:hint="eastAsia" w:ascii="仿宋" w:hAnsi="仿宋" w:eastAsia="仿宋" w:cs="仿宋"/>
          <w:sz w:val="32"/>
          <w:szCs w:val="32"/>
        </w:rPr>
        <w:t>万元、政府性基金预算</w:t>
      </w:r>
      <w:r>
        <w:rPr>
          <w:rFonts w:ascii="仿宋" w:hAnsi="仿宋" w:eastAsia="仿宋" w:cs="仿宋"/>
          <w:sz w:val="32"/>
          <w:szCs w:val="32"/>
        </w:rPr>
        <w:t>0</w:t>
      </w:r>
      <w:r>
        <w:rPr>
          <w:rFonts w:hint="eastAsia" w:ascii="仿宋" w:hAnsi="仿宋" w:eastAsia="仿宋" w:cs="仿宋"/>
          <w:sz w:val="32"/>
          <w:szCs w:val="32"/>
        </w:rPr>
        <w:t>万元、国有资本经营预算</w:t>
      </w:r>
      <w:r>
        <w:rPr>
          <w:rFonts w:ascii="仿宋" w:hAnsi="仿宋" w:eastAsia="仿宋" w:cs="仿宋"/>
          <w:sz w:val="32"/>
          <w:szCs w:val="32"/>
        </w:rPr>
        <w:t>0</w:t>
      </w:r>
      <w:r>
        <w:rPr>
          <w:rFonts w:hint="eastAsia" w:ascii="仿宋" w:hAnsi="仿宋" w:eastAsia="仿宋" w:cs="仿宋"/>
          <w:sz w:val="32"/>
          <w:szCs w:val="32"/>
        </w:rPr>
        <w:t>万元）、上级补助收入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万元、经营收入</w:t>
      </w:r>
      <w:r>
        <w:rPr>
          <w:rFonts w:ascii="仿宋" w:hAnsi="仿宋" w:eastAsia="仿宋" w:cs="仿宋"/>
          <w:sz w:val="32"/>
          <w:szCs w:val="32"/>
        </w:rPr>
        <w:t>0</w:t>
      </w:r>
      <w:r>
        <w:rPr>
          <w:rFonts w:hint="eastAsia" w:ascii="仿宋" w:hAnsi="仿宋" w:eastAsia="仿宋" w:cs="仿宋"/>
          <w:sz w:val="32"/>
          <w:szCs w:val="32"/>
        </w:rPr>
        <w:t>万元、附属单位上缴收入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hint="eastAsia"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收支预算总表支出栏、基本支出表、项目支出表按经济分类和支出功能分类科目编制，反映香河县司法局</w:t>
      </w:r>
      <w:r>
        <w:rPr>
          <w:rFonts w:hint="eastAsia" w:ascii="仿宋" w:hAnsi="仿宋" w:eastAsia="仿宋" w:cs="仿宋"/>
          <w:sz w:val="32"/>
          <w:szCs w:val="32"/>
          <w:lang w:eastAsia="zh-CN"/>
        </w:rPr>
        <w:t>2019年</w:t>
      </w:r>
      <w:r>
        <w:rPr>
          <w:rFonts w:hint="eastAsia" w:ascii="仿宋" w:hAnsi="仿宋" w:eastAsia="仿宋" w:cs="仿宋"/>
          <w:sz w:val="32"/>
          <w:szCs w:val="32"/>
        </w:rPr>
        <w:t>度部门预算中支出预算的总体情况。</w:t>
      </w:r>
      <w:r>
        <w:rPr>
          <w:rFonts w:hint="eastAsia" w:ascii="仿宋" w:hAnsi="仿宋" w:eastAsia="仿宋" w:cs="仿宋"/>
          <w:sz w:val="32"/>
          <w:szCs w:val="32"/>
          <w:lang w:eastAsia="zh-CN"/>
        </w:rPr>
        <w:t>2019年</w:t>
      </w:r>
      <w:r>
        <w:rPr>
          <w:rFonts w:hint="eastAsia" w:ascii="仿宋" w:hAnsi="仿宋" w:eastAsia="仿宋" w:cs="仿宋"/>
          <w:sz w:val="32"/>
          <w:szCs w:val="32"/>
        </w:rPr>
        <w:t>支出预算</w:t>
      </w:r>
      <w:r>
        <w:rPr>
          <w:rFonts w:hint="eastAsia" w:ascii="仿宋" w:hAnsi="仿宋" w:eastAsia="仿宋" w:cs="仿宋"/>
          <w:sz w:val="32"/>
          <w:szCs w:val="32"/>
          <w:lang w:val="en-US" w:eastAsia="zh-CN"/>
        </w:rPr>
        <w:t>1469.83</w:t>
      </w:r>
      <w:r>
        <w:rPr>
          <w:rFonts w:hint="eastAsia" w:ascii="仿宋" w:hAnsi="仿宋" w:eastAsia="仿宋" w:cs="仿宋"/>
          <w:sz w:val="32"/>
          <w:szCs w:val="32"/>
        </w:rPr>
        <w:t>万元，其中基本支出</w:t>
      </w:r>
    </w:p>
    <w:p>
      <w:pPr>
        <w:rPr>
          <w:rFonts w:ascii="仿宋" w:hAnsi="仿宋" w:eastAsia="仿宋" w:cs="Times New Roman"/>
          <w:sz w:val="32"/>
          <w:szCs w:val="32"/>
        </w:rPr>
      </w:pPr>
      <w:r>
        <w:rPr>
          <w:rFonts w:hint="eastAsia" w:ascii="仿宋" w:hAnsi="仿宋" w:eastAsia="仿宋" w:cs="仿宋"/>
          <w:sz w:val="32"/>
          <w:szCs w:val="32"/>
          <w:lang w:val="en-US" w:eastAsia="zh-CN"/>
        </w:rPr>
        <w:t>1212.30</w:t>
      </w:r>
      <w:r>
        <w:rPr>
          <w:rFonts w:hint="eastAsia" w:ascii="仿宋" w:hAnsi="仿宋" w:eastAsia="仿宋" w:cs="仿宋"/>
          <w:sz w:val="32"/>
          <w:szCs w:val="32"/>
        </w:rPr>
        <w:t>万元，包括人员经费1111.08</w:t>
      </w:r>
      <w:r>
        <w:rPr>
          <w:rFonts w:hint="eastAsia" w:ascii="仿宋" w:hAnsi="仿宋" w:eastAsia="仿宋" w:cs="仿宋"/>
          <w:sz w:val="32"/>
          <w:szCs w:val="32"/>
          <w:lang w:val="en-US" w:eastAsia="zh-CN"/>
        </w:rPr>
        <w:t>万元</w:t>
      </w:r>
      <w:r>
        <w:rPr>
          <w:rFonts w:hint="eastAsia" w:ascii="仿宋" w:hAnsi="仿宋" w:eastAsia="仿宋" w:cs="仿宋"/>
          <w:sz w:val="32"/>
          <w:szCs w:val="32"/>
        </w:rPr>
        <w:t>和日常公用经费</w:t>
      </w:r>
      <w:r>
        <w:rPr>
          <w:rFonts w:hint="eastAsia" w:ascii="仿宋" w:hAnsi="仿宋" w:eastAsia="仿宋" w:cs="仿宋"/>
          <w:sz w:val="32"/>
          <w:szCs w:val="32"/>
          <w:lang w:val="en-US" w:eastAsia="zh-CN"/>
        </w:rPr>
        <w:t>101.22万元</w:t>
      </w:r>
      <w:r>
        <w:rPr>
          <w:rFonts w:hint="eastAsia" w:ascii="仿宋" w:hAnsi="仿宋" w:eastAsia="仿宋" w:cs="仿宋"/>
          <w:sz w:val="32"/>
          <w:szCs w:val="32"/>
        </w:rPr>
        <w:t>；项目支出257.53万元，包括本级支出257.53万元和对下补助支出</w:t>
      </w:r>
      <w:r>
        <w:rPr>
          <w:rFonts w:ascii="仿宋" w:hAnsi="仿宋" w:eastAsia="仿宋" w:cs="仿宋"/>
          <w:sz w:val="32"/>
          <w:szCs w:val="32"/>
        </w:rPr>
        <w:t>0</w:t>
      </w:r>
      <w:r>
        <w:rPr>
          <w:rFonts w:hint="eastAsia" w:ascii="仿宋" w:hAnsi="仿宋" w:eastAsia="仿宋" w:cs="仿宋"/>
          <w:sz w:val="32"/>
          <w:szCs w:val="32"/>
        </w:rPr>
        <w:t>万元，主要为普法宣传、法律援助、社区矫正、基层司法业务等；上缴上级支出</w:t>
      </w:r>
      <w:r>
        <w:rPr>
          <w:rFonts w:ascii="仿宋" w:hAnsi="仿宋" w:eastAsia="仿宋" w:cs="仿宋"/>
          <w:sz w:val="32"/>
          <w:szCs w:val="32"/>
        </w:rPr>
        <w:t>0</w:t>
      </w:r>
      <w:r>
        <w:rPr>
          <w:rFonts w:hint="eastAsia" w:ascii="仿宋" w:hAnsi="仿宋" w:eastAsia="仿宋" w:cs="仿宋"/>
          <w:sz w:val="32"/>
          <w:szCs w:val="32"/>
        </w:rPr>
        <w:t>万元；其他支出</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firstLineChars="200"/>
        <w:rPr>
          <w:rFonts w:ascii="仿宋" w:hAnsi="仿宋" w:eastAsia="仿宋" w:cs="Times New Roman"/>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预算收支安排</w:t>
      </w:r>
      <w:r>
        <w:rPr>
          <w:rFonts w:hint="eastAsia" w:ascii="仿宋" w:hAnsi="仿宋" w:eastAsia="仿宋" w:cs="仿宋"/>
          <w:sz w:val="32"/>
          <w:szCs w:val="32"/>
          <w:lang w:val="en-US" w:eastAsia="zh-CN"/>
        </w:rPr>
        <w:t>1469.83</w:t>
      </w:r>
      <w:r>
        <w:rPr>
          <w:rFonts w:hint="eastAsia" w:ascii="仿宋" w:hAnsi="仿宋" w:eastAsia="仿宋" w:cs="仿宋"/>
          <w:sz w:val="32"/>
          <w:szCs w:val="32"/>
        </w:rPr>
        <w:t>万元，较</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年预算增加</w:t>
      </w:r>
      <w:r>
        <w:rPr>
          <w:rFonts w:ascii="仿宋" w:hAnsi="仿宋" w:eastAsia="仿宋" w:cs="仿宋"/>
          <w:sz w:val="32"/>
          <w:szCs w:val="32"/>
        </w:rPr>
        <w:t>2</w:t>
      </w:r>
      <w:r>
        <w:rPr>
          <w:rFonts w:hint="eastAsia" w:ascii="仿宋" w:hAnsi="仿宋" w:eastAsia="仿宋" w:cs="仿宋"/>
          <w:sz w:val="32"/>
          <w:szCs w:val="32"/>
          <w:lang w:val="en-US" w:eastAsia="zh-CN"/>
        </w:rPr>
        <w:t>00.65</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212.52</w:t>
      </w:r>
      <w:r>
        <w:rPr>
          <w:rFonts w:hint="eastAsia" w:ascii="仿宋" w:hAnsi="仿宋" w:eastAsia="仿宋" w:cs="仿宋"/>
          <w:sz w:val="32"/>
          <w:szCs w:val="32"/>
        </w:rPr>
        <w:t>万元，主要为增加人员经费支出；项目支出减少</w:t>
      </w:r>
      <w:r>
        <w:rPr>
          <w:rFonts w:ascii="仿宋" w:hAnsi="仿宋" w:eastAsia="仿宋" w:cs="仿宋"/>
          <w:sz w:val="32"/>
          <w:szCs w:val="32"/>
        </w:rPr>
        <w:t>1</w:t>
      </w:r>
      <w:r>
        <w:rPr>
          <w:rFonts w:hint="eastAsia" w:ascii="仿宋" w:hAnsi="仿宋" w:eastAsia="仿宋" w:cs="仿宋"/>
          <w:sz w:val="32"/>
          <w:szCs w:val="32"/>
          <w:lang w:val="en-US" w:eastAsia="zh-CN"/>
        </w:rPr>
        <w:t>1.87</w:t>
      </w:r>
      <w:r>
        <w:rPr>
          <w:rFonts w:hint="eastAsia" w:ascii="仿宋" w:hAnsi="仿宋" w:eastAsia="仿宋" w:cs="仿宋"/>
          <w:sz w:val="32"/>
          <w:szCs w:val="32"/>
        </w:rPr>
        <w:t>万元。</w:t>
      </w:r>
    </w:p>
    <w:p>
      <w:pPr>
        <w:ind w:firstLine="800" w:firstLineChars="25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101.22</w:t>
      </w:r>
      <w:r>
        <w:rPr>
          <w:rFonts w:hint="eastAsia" w:ascii="仿宋" w:hAnsi="仿宋" w:eastAsia="仿宋" w:cs="仿宋"/>
          <w:sz w:val="32"/>
          <w:szCs w:val="32"/>
        </w:rPr>
        <w:t>万元，主要用于办公区的日常维修、办公用房水电费、办公用房取暖费、办公用房物业管理费等日常运行支出。</w:t>
      </w:r>
    </w:p>
    <w:p>
      <w:pPr>
        <w:ind w:firstLine="800" w:firstLineChars="25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s="Times New Roman"/>
          <w:sz w:val="32"/>
          <w:szCs w:val="32"/>
        </w:rPr>
      </w:pPr>
      <w:r>
        <w:rPr>
          <w:rFonts w:hint="eastAsia" w:ascii="仿宋" w:hAnsi="仿宋" w:eastAsia="仿宋" w:cs="仿宋"/>
          <w:sz w:val="32"/>
          <w:szCs w:val="32"/>
          <w:lang w:eastAsia="zh-CN"/>
        </w:rPr>
        <w:t>2019年</w:t>
      </w:r>
      <w:r>
        <w:rPr>
          <w:rFonts w:hint="eastAsia" w:ascii="仿宋" w:hAnsi="仿宋" w:eastAsia="仿宋" w:cs="仿宋"/>
          <w:sz w:val="32"/>
          <w:szCs w:val="32"/>
        </w:rPr>
        <w:t>，本部门“三公”经费预算安排</w:t>
      </w:r>
      <w:r>
        <w:rPr>
          <w:rFonts w:ascii="仿宋" w:hAnsi="仿宋" w:eastAsia="仿宋" w:cs="仿宋"/>
          <w:sz w:val="32"/>
          <w:szCs w:val="32"/>
        </w:rPr>
        <w:t>1</w:t>
      </w:r>
      <w:r>
        <w:rPr>
          <w:rFonts w:hint="eastAsia" w:ascii="仿宋" w:hAnsi="仿宋" w:eastAsia="仿宋" w:cs="仿宋"/>
          <w:sz w:val="32"/>
          <w:szCs w:val="32"/>
          <w:lang w:val="en-US" w:eastAsia="zh-CN"/>
        </w:rPr>
        <w:t>4.33</w:t>
      </w:r>
      <w:r>
        <w:rPr>
          <w:rFonts w:hint="eastAsia" w:ascii="仿宋" w:hAnsi="仿宋" w:eastAsia="仿宋" w:cs="仿宋"/>
          <w:sz w:val="32"/>
          <w:szCs w:val="32"/>
        </w:rPr>
        <w:t>万元</w:t>
      </w:r>
      <w:r>
        <w:rPr>
          <w:rFonts w:hint="eastAsia" w:ascii="方正仿宋_GBK" w:hAnsi="宋体" w:eastAsia="方正仿宋_GBK" w:cs="方正仿宋_GBK"/>
          <w:color w:val="000000"/>
          <w:kern w:val="0"/>
          <w:sz w:val="32"/>
          <w:szCs w:val="32"/>
        </w:rPr>
        <w:t>（</w:t>
      </w:r>
      <w:r>
        <w:rPr>
          <w:rFonts w:hint="eastAsia" w:ascii="仿宋" w:hAnsi="仿宋" w:eastAsia="仿宋" w:cs="仿宋"/>
          <w:sz w:val="32"/>
          <w:szCs w:val="32"/>
        </w:rPr>
        <w:t>包括一般公共预算</w:t>
      </w:r>
      <w:r>
        <w:rPr>
          <w:rFonts w:hint="eastAsia" w:ascii="仿宋" w:hAnsi="仿宋" w:eastAsia="仿宋" w:cs="仿宋"/>
          <w:sz w:val="32"/>
          <w:szCs w:val="32"/>
          <w:lang w:val="en-US" w:eastAsia="zh-CN"/>
        </w:rPr>
        <w:t>14.33</w:t>
      </w:r>
      <w:r>
        <w:rPr>
          <w:rFonts w:hint="eastAsia" w:ascii="仿宋" w:hAnsi="仿宋" w:eastAsia="仿宋" w:cs="仿宋"/>
          <w:sz w:val="32"/>
          <w:szCs w:val="32"/>
        </w:rPr>
        <w:t>万元、政府性基金预算</w:t>
      </w:r>
      <w:r>
        <w:rPr>
          <w:rFonts w:ascii="仿宋" w:hAnsi="仿宋" w:eastAsia="仿宋" w:cs="仿宋"/>
          <w:sz w:val="32"/>
          <w:szCs w:val="32"/>
        </w:rPr>
        <w:t>0</w:t>
      </w:r>
      <w:r>
        <w:rPr>
          <w:rFonts w:hint="eastAsia" w:ascii="仿宋" w:hAnsi="仿宋" w:eastAsia="仿宋" w:cs="仿宋"/>
          <w:sz w:val="32"/>
          <w:szCs w:val="32"/>
        </w:rPr>
        <w:t>万元、国有资本经营预算</w:t>
      </w:r>
      <w:r>
        <w:rPr>
          <w:rFonts w:ascii="仿宋" w:hAnsi="仿宋" w:eastAsia="仿宋" w:cs="仿宋"/>
          <w:sz w:val="32"/>
          <w:szCs w:val="32"/>
        </w:rPr>
        <w:t>0</w:t>
      </w:r>
      <w:r>
        <w:rPr>
          <w:rFonts w:hint="eastAsia" w:ascii="仿宋" w:hAnsi="仿宋" w:eastAsia="仿宋" w:cs="仿宋"/>
          <w:sz w:val="32"/>
          <w:szCs w:val="32"/>
        </w:rPr>
        <w:t>万元和财政专户核拨资金</w:t>
      </w:r>
      <w:r>
        <w:rPr>
          <w:rFonts w:ascii="仿宋" w:hAnsi="仿宋" w:eastAsia="仿宋" w:cs="仿宋"/>
          <w:sz w:val="32"/>
          <w:szCs w:val="32"/>
        </w:rPr>
        <w:t>0</w:t>
      </w:r>
      <w:r>
        <w:rPr>
          <w:rFonts w:hint="eastAsia" w:ascii="仿宋" w:hAnsi="仿宋" w:eastAsia="仿宋" w:cs="仿宋"/>
          <w:sz w:val="32"/>
          <w:szCs w:val="32"/>
        </w:rPr>
        <w:t>万元</w:t>
      </w:r>
      <w:r>
        <w:rPr>
          <w:rFonts w:hint="eastAsia" w:ascii="方正仿宋_GBK" w:hAnsi="宋体" w:eastAsia="方正仿宋_GBK" w:cs="方正仿宋_GBK"/>
          <w:color w:val="000000"/>
          <w:kern w:val="0"/>
          <w:sz w:val="32"/>
          <w:szCs w:val="32"/>
        </w:rPr>
        <w:t>）</w:t>
      </w:r>
      <w:r>
        <w:rPr>
          <w:rFonts w:hint="eastAsia" w:ascii="仿宋" w:hAnsi="仿宋" w:eastAsia="仿宋" w:cs="仿宋"/>
          <w:sz w:val="32"/>
          <w:szCs w:val="32"/>
        </w:rPr>
        <w:t>，其中因公出国（境）费</w:t>
      </w:r>
      <w:r>
        <w:rPr>
          <w:rFonts w:ascii="仿宋" w:hAnsi="仿宋" w:eastAsia="仿宋" w:cs="仿宋"/>
          <w:sz w:val="32"/>
          <w:szCs w:val="32"/>
        </w:rPr>
        <w:t>0</w:t>
      </w:r>
      <w:r>
        <w:rPr>
          <w:rFonts w:hint="eastAsia" w:ascii="仿宋" w:hAnsi="仿宋" w:eastAsia="仿宋" w:cs="仿宋"/>
          <w:sz w:val="32"/>
          <w:szCs w:val="32"/>
        </w:rPr>
        <w:t>万元，与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持平，无增减变化</w:t>
      </w:r>
      <w:r>
        <w:rPr>
          <w:rFonts w:hint="eastAsia" w:ascii="仿宋" w:hAnsi="仿宋" w:eastAsia="仿宋" w:cs="仿宋"/>
          <w:sz w:val="32"/>
          <w:szCs w:val="32"/>
        </w:rPr>
        <w:t>；公务用车购置及运维费</w:t>
      </w:r>
      <w:r>
        <w:rPr>
          <w:rFonts w:ascii="仿宋" w:hAnsi="仿宋" w:eastAsia="仿宋" w:cs="仿宋"/>
          <w:sz w:val="32"/>
          <w:szCs w:val="32"/>
        </w:rPr>
        <w:t>1</w:t>
      </w:r>
      <w:r>
        <w:rPr>
          <w:rFonts w:hint="eastAsia" w:ascii="仿宋" w:hAnsi="仿宋" w:eastAsia="仿宋" w:cs="仿宋"/>
          <w:sz w:val="32"/>
          <w:szCs w:val="32"/>
          <w:lang w:val="en-US" w:eastAsia="zh-CN"/>
        </w:rPr>
        <w:t>4.33</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1</w:t>
      </w:r>
      <w:r>
        <w:rPr>
          <w:rFonts w:hint="eastAsia" w:ascii="仿宋" w:hAnsi="仿宋" w:eastAsia="仿宋" w:cs="仿宋"/>
          <w:sz w:val="32"/>
          <w:szCs w:val="32"/>
          <w:lang w:val="en-US" w:eastAsia="zh-CN"/>
        </w:rPr>
        <w:t>4.33</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lang w:val="en-US" w:eastAsia="zh-CN"/>
        </w:rPr>
        <w:t>公务用车购置费</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持平，无增减变化，公务用车运行费</w:t>
      </w:r>
      <w:r>
        <w:rPr>
          <w:rFonts w:hint="eastAsia" w:ascii="仿宋" w:hAnsi="仿宋" w:eastAsia="仿宋" w:cs="仿宋"/>
          <w:sz w:val="32"/>
          <w:szCs w:val="32"/>
        </w:rPr>
        <w:t>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相比增加了0.93</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社区矫正下乡业务增加</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万元，与</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相比减少了2.9万，主要原因是为了厉行节俭</w:t>
      </w:r>
      <w:r>
        <w:rPr>
          <w:rFonts w:hint="eastAsia" w:ascii="仿宋" w:hAnsi="仿宋" w:eastAsia="仿宋" w:cs="仿宋"/>
          <w:sz w:val="32"/>
          <w:szCs w:val="32"/>
        </w:rPr>
        <w:t>。</w:t>
      </w:r>
    </w:p>
    <w:p>
      <w:pPr>
        <w:ind w:firstLine="800" w:firstLineChars="250"/>
        <w:rPr>
          <w:rFonts w:ascii="黑体" w:hAnsi="黑体" w:eastAsia="黑体" w:cs="Times New Roman"/>
          <w:sz w:val="32"/>
          <w:szCs w:val="32"/>
        </w:rPr>
      </w:pPr>
      <w:r>
        <w:rPr>
          <w:rFonts w:hint="eastAsia" w:ascii="黑体" w:hAnsi="黑体" w:eastAsia="黑体" w:cs="黑体"/>
          <w:sz w:val="32"/>
          <w:szCs w:val="32"/>
        </w:rPr>
        <w:t>五、绩效预算信息</w:t>
      </w:r>
    </w:p>
    <w:p>
      <w:pPr>
        <w:ind w:firstLine="803" w:firstLineChars="250"/>
        <w:jc w:val="left"/>
        <w:rPr>
          <w:rFonts w:ascii="宋体" w:cs="Times New Roman"/>
          <w:b/>
          <w:bCs/>
          <w:sz w:val="32"/>
          <w:szCs w:val="32"/>
        </w:rPr>
      </w:pPr>
      <w:bookmarkStart w:id="0" w:name="_Toc471398463"/>
      <w:r>
        <w:rPr>
          <w:rFonts w:hint="eastAsia" w:ascii="宋体" w:hAnsi="宋体" w:cs="宋体"/>
          <w:b/>
          <w:bCs/>
          <w:sz w:val="32"/>
          <w:szCs w:val="32"/>
        </w:rPr>
        <w:t>总体绩效目标：</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一）司法行政管理方面</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、普法宣传工作。绩效目标为提高全县人民法律意识和法律素质，增强法治化管理水平，促进全县民主与法制建设。绩效指标有普法考核通过率</w:t>
      </w:r>
      <w:r>
        <w:rPr>
          <w:rFonts w:ascii="仿宋" w:hAnsi="仿宋" w:eastAsia="仿宋" w:cs="仿宋"/>
          <w:sz w:val="32"/>
          <w:szCs w:val="32"/>
        </w:rPr>
        <w:t>95%</w:t>
      </w:r>
      <w:r>
        <w:rPr>
          <w:rFonts w:hint="eastAsia" w:ascii="仿宋" w:hAnsi="仿宋" w:eastAsia="仿宋" w:cs="仿宋"/>
          <w:sz w:val="32"/>
          <w:szCs w:val="32"/>
        </w:rPr>
        <w:t>；网络舆情处置率</w:t>
      </w:r>
      <w:r>
        <w:rPr>
          <w:rFonts w:ascii="仿宋" w:hAnsi="仿宋" w:eastAsia="仿宋" w:cs="仿宋"/>
          <w:sz w:val="32"/>
          <w:szCs w:val="32"/>
        </w:rPr>
        <w:t>95%</w:t>
      </w:r>
      <w:r>
        <w:rPr>
          <w:rFonts w:hint="eastAsia" w:ascii="仿宋" w:hAnsi="仿宋" w:eastAsia="仿宋" w:cs="仿宋"/>
          <w:sz w:val="32"/>
          <w:szCs w:val="32"/>
        </w:rPr>
        <w:t>；宣传资料印刷</w:t>
      </w:r>
      <w:r>
        <w:rPr>
          <w:rFonts w:ascii="仿宋" w:hAnsi="仿宋" w:eastAsia="仿宋" w:cs="仿宋"/>
          <w:sz w:val="32"/>
          <w:szCs w:val="32"/>
        </w:rPr>
        <w:t>5000</w:t>
      </w:r>
      <w:r>
        <w:rPr>
          <w:rFonts w:hint="eastAsia" w:ascii="仿宋" w:hAnsi="仿宋" w:eastAsia="仿宋" w:cs="仿宋"/>
          <w:sz w:val="32"/>
          <w:szCs w:val="32"/>
        </w:rPr>
        <w:t>册；组织主题宣传活动</w:t>
      </w:r>
      <w:r>
        <w:rPr>
          <w:rFonts w:ascii="仿宋" w:hAnsi="仿宋" w:eastAsia="仿宋" w:cs="仿宋"/>
          <w:sz w:val="32"/>
          <w:szCs w:val="32"/>
        </w:rPr>
        <w:t>12</w:t>
      </w:r>
      <w:r>
        <w:rPr>
          <w:rFonts w:hint="eastAsia" w:ascii="仿宋" w:hAnsi="仿宋" w:eastAsia="仿宋" w:cs="仿宋"/>
          <w:sz w:val="32"/>
          <w:szCs w:val="32"/>
        </w:rPr>
        <w:t>次。</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、律师公证管理工作。绩效目标为充分发挥法律服务职能，着力服务经济改革、保障民生。绩效指标有提供法律咨询</w:t>
      </w:r>
      <w:r>
        <w:rPr>
          <w:rFonts w:ascii="仿宋" w:hAnsi="仿宋" w:eastAsia="仿宋" w:cs="仿宋"/>
          <w:sz w:val="32"/>
          <w:szCs w:val="32"/>
        </w:rPr>
        <w:t>50</w:t>
      </w:r>
      <w:r>
        <w:rPr>
          <w:rFonts w:hint="eastAsia" w:ascii="仿宋" w:hAnsi="仿宋" w:eastAsia="仿宋" w:cs="仿宋"/>
          <w:sz w:val="32"/>
          <w:szCs w:val="32"/>
        </w:rPr>
        <w:t>宗以上；机构年检率</w:t>
      </w:r>
      <w:r>
        <w:rPr>
          <w:rFonts w:ascii="仿宋" w:hAnsi="仿宋" w:eastAsia="仿宋" w:cs="仿宋"/>
          <w:sz w:val="32"/>
          <w:szCs w:val="32"/>
        </w:rPr>
        <w:t>99%</w:t>
      </w:r>
      <w:r>
        <w:rPr>
          <w:rFonts w:hint="eastAsia" w:ascii="仿宋" w:hAnsi="仿宋" w:eastAsia="仿宋" w:cs="仿宋"/>
          <w:sz w:val="32"/>
          <w:szCs w:val="32"/>
        </w:rPr>
        <w:t>以上；机构年检满意率</w:t>
      </w:r>
      <w:r>
        <w:rPr>
          <w:rFonts w:ascii="仿宋" w:hAnsi="仿宋" w:eastAsia="仿宋" w:cs="仿宋"/>
          <w:sz w:val="32"/>
          <w:szCs w:val="32"/>
        </w:rPr>
        <w:t>95%</w:t>
      </w:r>
      <w:r>
        <w:rPr>
          <w:rFonts w:hint="eastAsia" w:ascii="仿宋" w:hAnsi="仿宋" w:eastAsia="仿宋" w:cs="仿宋"/>
          <w:sz w:val="32"/>
          <w:szCs w:val="32"/>
        </w:rPr>
        <w:t>以上。</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、基层司法业务工作。绩效目标为深化人民调解、社区矫正和安置帮教工作，最大限度降低重新违法犯罪和社会不稳定因素发生率。绩效指标有人民调解案件数</w:t>
      </w:r>
      <w:r>
        <w:rPr>
          <w:rFonts w:ascii="仿宋" w:hAnsi="仿宋" w:eastAsia="仿宋" w:cs="仿宋"/>
          <w:sz w:val="32"/>
          <w:szCs w:val="32"/>
        </w:rPr>
        <w:t>200</w:t>
      </w:r>
      <w:r>
        <w:rPr>
          <w:rFonts w:hint="eastAsia" w:ascii="仿宋" w:hAnsi="仿宋" w:eastAsia="仿宋" w:cs="仿宋"/>
          <w:sz w:val="32"/>
          <w:szCs w:val="32"/>
        </w:rPr>
        <w:t>件以上；再犯罪率</w:t>
      </w:r>
      <w:r>
        <w:rPr>
          <w:rFonts w:ascii="仿宋" w:hAnsi="仿宋" w:eastAsia="仿宋" w:cs="仿宋"/>
          <w:sz w:val="32"/>
          <w:szCs w:val="32"/>
        </w:rPr>
        <w:t>0.2%</w:t>
      </w:r>
      <w:r>
        <w:rPr>
          <w:rFonts w:hint="eastAsia" w:ascii="仿宋" w:hAnsi="仿宋" w:eastAsia="仿宋" w:cs="仿宋"/>
          <w:sz w:val="32"/>
          <w:szCs w:val="32"/>
        </w:rPr>
        <w:t>以下；社区矫正人数</w:t>
      </w:r>
      <w:r>
        <w:rPr>
          <w:rFonts w:ascii="仿宋" w:hAnsi="仿宋" w:eastAsia="仿宋" w:cs="仿宋"/>
          <w:sz w:val="32"/>
          <w:szCs w:val="32"/>
        </w:rPr>
        <w:t>250</w:t>
      </w:r>
      <w:r>
        <w:rPr>
          <w:rFonts w:hint="eastAsia" w:ascii="仿宋" w:hAnsi="仿宋" w:eastAsia="仿宋" w:cs="仿宋"/>
          <w:sz w:val="32"/>
          <w:szCs w:val="32"/>
        </w:rPr>
        <w:t>人以下；安置帮教人数</w:t>
      </w:r>
      <w:r>
        <w:rPr>
          <w:rFonts w:ascii="仿宋" w:hAnsi="仿宋" w:eastAsia="仿宋" w:cs="仿宋"/>
          <w:sz w:val="32"/>
          <w:szCs w:val="32"/>
        </w:rPr>
        <w:t>80</w:t>
      </w:r>
      <w:r>
        <w:rPr>
          <w:rFonts w:hint="eastAsia" w:ascii="仿宋" w:hAnsi="仿宋" w:eastAsia="仿宋" w:cs="仿宋"/>
          <w:sz w:val="32"/>
          <w:szCs w:val="32"/>
        </w:rPr>
        <w:t>人以上；服刑人员信息核查率</w:t>
      </w:r>
      <w:r>
        <w:rPr>
          <w:rFonts w:ascii="仿宋" w:hAnsi="仿宋" w:eastAsia="仿宋" w:cs="仿宋"/>
          <w:sz w:val="32"/>
          <w:szCs w:val="32"/>
        </w:rPr>
        <w:t>80%</w:t>
      </w:r>
      <w:r>
        <w:rPr>
          <w:rFonts w:hint="eastAsia" w:ascii="仿宋" w:hAnsi="仿宋" w:eastAsia="仿宋" w:cs="仿宋"/>
          <w:sz w:val="32"/>
          <w:szCs w:val="32"/>
        </w:rPr>
        <w:t>以上。</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、法律援助工作。绩效目标为建立完善法律援助工作机制，扩大法律援助覆盖面，推动全县法律援助工作长足发展。绩效指标有案件受理</w:t>
      </w:r>
      <w:r>
        <w:rPr>
          <w:rFonts w:ascii="仿宋" w:hAnsi="仿宋" w:eastAsia="仿宋" w:cs="仿宋"/>
          <w:sz w:val="32"/>
          <w:szCs w:val="32"/>
        </w:rPr>
        <w:t>180</w:t>
      </w:r>
      <w:r>
        <w:rPr>
          <w:rFonts w:hint="eastAsia" w:ascii="仿宋" w:hAnsi="仿宋" w:eastAsia="仿宋" w:cs="仿宋"/>
          <w:sz w:val="32"/>
          <w:szCs w:val="32"/>
        </w:rPr>
        <w:t>件以上；受理案件办结率</w:t>
      </w:r>
      <w:r>
        <w:rPr>
          <w:rFonts w:ascii="仿宋" w:hAnsi="仿宋" w:eastAsia="仿宋" w:cs="仿宋"/>
          <w:sz w:val="32"/>
          <w:szCs w:val="32"/>
        </w:rPr>
        <w:t>90%</w:t>
      </w:r>
      <w:r>
        <w:rPr>
          <w:rFonts w:hint="eastAsia" w:ascii="仿宋" w:hAnsi="仿宋" w:eastAsia="仿宋" w:cs="仿宋"/>
          <w:sz w:val="32"/>
          <w:szCs w:val="32"/>
        </w:rPr>
        <w:t>以上；印刷法律援助宣传册</w:t>
      </w:r>
      <w:r>
        <w:rPr>
          <w:rFonts w:ascii="仿宋" w:hAnsi="仿宋" w:eastAsia="仿宋" w:cs="仿宋"/>
          <w:sz w:val="32"/>
          <w:szCs w:val="32"/>
        </w:rPr>
        <w:t>1000</w:t>
      </w:r>
      <w:r>
        <w:rPr>
          <w:rFonts w:hint="eastAsia" w:ascii="仿宋" w:hAnsi="仿宋" w:eastAsia="仿宋" w:cs="仿宋"/>
          <w:sz w:val="32"/>
          <w:szCs w:val="32"/>
        </w:rPr>
        <w:t>册以上。</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、司法鉴定工作。绩效目标为规范司法鉴定机构和司法鉴定人的管理，提高司法鉴定人员素质，促进司法鉴定的公正、公平。绩效指标有司法鉴定机构年检率</w:t>
      </w:r>
      <w:r>
        <w:rPr>
          <w:rFonts w:ascii="仿宋" w:hAnsi="仿宋" w:eastAsia="仿宋" w:cs="仿宋"/>
          <w:sz w:val="32"/>
          <w:szCs w:val="32"/>
        </w:rPr>
        <w:t>100%</w:t>
      </w:r>
      <w:r>
        <w:rPr>
          <w:rFonts w:hint="eastAsia" w:ascii="仿宋" w:hAnsi="仿宋" w:eastAsia="仿宋" w:cs="仿宋"/>
          <w:sz w:val="32"/>
          <w:szCs w:val="32"/>
        </w:rPr>
        <w:t>；司法鉴定准确率</w:t>
      </w:r>
      <w:r>
        <w:rPr>
          <w:rFonts w:ascii="仿宋" w:hAnsi="仿宋" w:eastAsia="仿宋" w:cs="仿宋"/>
          <w:sz w:val="32"/>
          <w:szCs w:val="32"/>
        </w:rPr>
        <w:t>90%</w:t>
      </w:r>
      <w:r>
        <w:rPr>
          <w:rFonts w:hint="eastAsia" w:ascii="仿宋" w:hAnsi="仿宋" w:eastAsia="仿宋" w:cs="仿宋"/>
          <w:sz w:val="32"/>
          <w:szCs w:val="32"/>
        </w:rPr>
        <w:t>以上；年度新许可司法鉴定人参加转岗培训率</w:t>
      </w:r>
      <w:r>
        <w:rPr>
          <w:rFonts w:ascii="仿宋" w:hAnsi="仿宋" w:eastAsia="仿宋" w:cs="仿宋"/>
          <w:sz w:val="32"/>
          <w:szCs w:val="32"/>
        </w:rPr>
        <w:t>90%</w:t>
      </w:r>
      <w:r>
        <w:rPr>
          <w:rFonts w:hint="eastAsia" w:ascii="仿宋" w:hAnsi="仿宋" w:eastAsia="仿宋" w:cs="仿宋"/>
          <w:sz w:val="32"/>
          <w:szCs w:val="32"/>
        </w:rPr>
        <w:t>；司法鉴定人员的培训率占全体鉴定人的</w:t>
      </w:r>
      <w:r>
        <w:rPr>
          <w:rFonts w:ascii="仿宋" w:hAnsi="仿宋" w:eastAsia="仿宋" w:cs="仿宋"/>
          <w:sz w:val="32"/>
          <w:szCs w:val="32"/>
        </w:rPr>
        <w:t>90</w:t>
      </w:r>
      <w:r>
        <w:rPr>
          <w:rFonts w:hint="eastAsia" w:ascii="仿宋" w:hAnsi="仿宋" w:eastAsia="仿宋" w:cs="仿宋"/>
          <w:sz w:val="32"/>
          <w:szCs w:val="32"/>
        </w:rPr>
        <w:t>以上。</w:t>
      </w:r>
    </w:p>
    <w:p>
      <w:pPr>
        <w:spacing w:line="500" w:lineRule="exact"/>
        <w:ind w:firstLine="560"/>
        <w:rPr>
          <w:rFonts w:ascii="仿宋" w:hAnsi="仿宋" w:eastAsia="仿宋" w:cs="Times New Roman"/>
          <w:sz w:val="32"/>
          <w:szCs w:val="32"/>
        </w:rPr>
      </w:pPr>
      <w:r>
        <w:rPr>
          <w:rFonts w:hint="eastAsia" w:ascii="仿宋" w:hAnsi="仿宋" w:eastAsia="仿宋" w:cs="仿宋"/>
          <w:sz w:val="32"/>
          <w:szCs w:val="32"/>
        </w:rPr>
        <w:t>（二）司法政务管理方面。绩效目标为促进司法系统执法能力全面提升；加强纪检监督、信息化建设等，促进司法行政系统各项事业健康发展；加强机关后勤保障确保正常办公环境需要。绩效指标有综合业务管理工作完成率</w:t>
      </w:r>
      <w:r>
        <w:rPr>
          <w:rFonts w:ascii="仿宋" w:hAnsi="仿宋" w:eastAsia="仿宋" w:cs="仿宋"/>
          <w:sz w:val="32"/>
          <w:szCs w:val="32"/>
        </w:rPr>
        <w:t>100%</w:t>
      </w:r>
      <w:r>
        <w:rPr>
          <w:rFonts w:hint="eastAsia" w:ascii="仿宋" w:hAnsi="仿宋" w:eastAsia="仿宋" w:cs="仿宋"/>
          <w:sz w:val="32"/>
          <w:szCs w:val="32"/>
        </w:rPr>
        <w:t>；综合事务管理工作完成率</w:t>
      </w:r>
      <w:r>
        <w:rPr>
          <w:rFonts w:ascii="仿宋" w:hAnsi="仿宋" w:eastAsia="仿宋" w:cs="仿宋"/>
          <w:sz w:val="32"/>
          <w:szCs w:val="32"/>
        </w:rPr>
        <w:t>100%</w:t>
      </w:r>
      <w:r>
        <w:rPr>
          <w:rFonts w:hint="eastAsia" w:ascii="仿宋" w:hAnsi="仿宋" w:eastAsia="仿宋" w:cs="仿宋"/>
          <w:sz w:val="32"/>
          <w:szCs w:val="32"/>
        </w:rPr>
        <w:t>。</w:t>
      </w:r>
    </w:p>
    <w:p>
      <w:pPr>
        <w:ind w:firstLine="643" w:firstLineChars="200"/>
        <w:jc w:val="left"/>
        <w:outlineLvl w:val="0"/>
        <w:rPr>
          <w:rFonts w:ascii="宋体" w:cs="Times New Roman"/>
          <w:b/>
          <w:bCs/>
          <w:sz w:val="32"/>
          <w:szCs w:val="32"/>
        </w:rPr>
      </w:pPr>
      <w:r>
        <w:rPr>
          <w:rFonts w:hint="eastAsia" w:ascii="宋体" w:hAnsi="宋体" w:cs="宋体"/>
          <w:b/>
          <w:bCs/>
          <w:sz w:val="32"/>
          <w:szCs w:val="32"/>
        </w:rPr>
        <w:t>部门职责及工作活动绩效目标指标：</w:t>
      </w:r>
    </w:p>
    <w:p>
      <w:pPr>
        <w:ind w:firstLine="643" w:firstLineChars="200"/>
        <w:jc w:val="left"/>
        <w:outlineLvl w:val="0"/>
        <w:rPr>
          <w:rFonts w:ascii="宋体" w:cs="Times New Roman"/>
          <w:b/>
          <w:bCs/>
          <w:sz w:val="32"/>
          <w:szCs w:val="32"/>
        </w:rPr>
      </w:pPr>
    </w:p>
    <w:p>
      <w:pPr>
        <w:jc w:val="center"/>
        <w:outlineLvl w:val="0"/>
        <w:rPr>
          <w:rFonts w:ascii="方正小标宋_GBK" w:eastAsia="方正小标宋_GBK"/>
          <w:color w:val="FFFFFF"/>
          <w:sz w:val="32"/>
        </w:rPr>
      </w:pPr>
      <w:bookmarkStart w:id="1" w:name="_Toc2853215"/>
      <w:bookmarkStart w:id="2" w:name="_Toc508617324"/>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315</w:t>
            </w:r>
            <w:r>
              <w:rPr>
                <w:rFonts w:hint="eastAsia" w:ascii="方正小标宋_GBK" w:eastAsia="方正小标宋_GBK"/>
                <w:sz w:val="24"/>
              </w:rPr>
              <w:t>县司法局</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一、司法行政管理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189.60</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贯彻落实国家司法行政工作方针政策；拟定有关规章，制定全县司法行政中长期规划并组织实施。</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提升全县司法行政管理水平</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、普法宣传</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26.40</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拟订县级法制宣传教育规划并组织实施；指导县级法制宣传、依法治理工作；组织、指导法制宣传报道</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提高全县人民法律意识和法律素质，增强法治化管理水平促进全县民主与法制建设</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普法考核通过率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网络舆情处置率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宣传资料印刷册数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4500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4000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组织主题宣传活动场次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11</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、律师公证管理</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开展律师公证工作并承担相应责任</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充分发挥法律服务职能，规范律师、公证行业管理。</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提供法律咨询数量（宗）</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年检机构满意率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机构年检率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99%</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96%</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93%</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、基层司法业务</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133.08</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负责全县社区矫正、人民调解、安置帮教、基层法律服务和基层司法所工作；会同人民法院指导人民陪审员工作；指导人民调解员协会工作；承担县安置帮教办公室、县社区矫正办公室的日常工作；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深化人民调解、社区矫正和安置帮教工作，最大限度降低重新违法犯罪和社会不稳定因素发生率</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人民调解案件数（件）</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再犯罪减低率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0.2%</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0.3%</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0.4%</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社区矫正人数（人）</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250</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&lt;250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安置帮教人数（人次）</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服刑人员信息核查率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、法律援助</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30.12</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落实法律援助的法律法规和政策的执行；规划法律援助事业发展；管理县法律援助机构和法律援助从业人员；组织指导全县社会组织和志愿者开展法律援助工作；办理法律援助案件；管理</w:t>
            </w:r>
            <w:r>
              <w:rPr>
                <w:rFonts w:hint="cs" w:ascii="方正书宋_GBK" w:eastAsia="方正书宋_GBK"/>
              </w:rPr>
              <w:t>“</w:t>
            </w:r>
            <w:r>
              <w:rPr>
                <w:rFonts w:ascii="方正书宋_GBK" w:eastAsia="方正书宋_GBK"/>
              </w:rPr>
              <w:t>12348”</w:t>
            </w:r>
            <w:r>
              <w:rPr>
                <w:rFonts w:hint="eastAsia" w:ascii="方正书宋_GBK" w:eastAsia="方正书宋_GBK"/>
              </w:rPr>
              <w:t>法律援助专线；</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扩大法律援助覆盖面，推动全县法律援助工作长足发展。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法律援助案件办结率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印刷法律援助宣传资料</w:t>
            </w:r>
            <w:r>
              <w:rPr>
                <w:rFonts w:ascii="方正书宋_GBK" w:eastAsia="方正书宋_GBK"/>
              </w:rPr>
              <w:t>(</w:t>
            </w:r>
            <w:r>
              <w:rPr>
                <w:rFonts w:hint="eastAsia" w:ascii="方正书宋_GBK" w:eastAsia="方正书宋_GBK"/>
              </w:rPr>
              <w:t>册）</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法律援助案件受理数（件）</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120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、司法鉴定</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拟定县级司法鉴定管理规定和技术规范；完成县级司法鉴定人和司法鉴定机构登记管理工作；负责县级司法鉴定机构的遴选和管理工作；指导面向社会的司法鉴定资质管理、质量管理和司法鉴定人继续教育培训。</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规范司法鉴定机构和司法鉴定人的管理，提高司法鉴定人员素质，促进司法鉴定的公正、公平</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司法鉴定机构年检率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司法鉴定准确率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年度新许可司法鉴定人参加转岗培训率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司法鉴定人培训数量占全体司法鉴定人的比例</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二、司法政务管理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67.93</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负责机关综合业务管理和机关直属单位综合事务管理</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促进司法系统执法能力全面提升</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67.93</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负责系统物资装备管理；指导监督系统计划财务工作及队伍建设。</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加强纪检监督、信息化建设等，促进司法行政系统各项事业健康发展</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、综合政务管理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负责机关各项活动的监督；承办县政府交办的其他事项</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加强机关后勤保障确保正常办公环境需要</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综合事务工作完成率</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bookmarkEnd w:id="2"/>
    <w:p>
      <w:pPr>
        <w:ind w:firstLine="640"/>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r>
        <w:rPr>
          <w:rFonts w:hint="eastAsia" w:ascii="仿宋" w:hAnsi="仿宋" w:eastAsia="仿宋" w:cs="Times New Roman"/>
          <w:sz w:val="32"/>
          <w:szCs w:val="32"/>
        </w:rPr>
        <w:t>本年度部门预算共计安排政府采购项目为0类</w:t>
      </w:r>
      <w:r>
        <w:rPr>
          <w:rFonts w:hint="eastAsia" w:ascii="仿宋" w:hAnsi="仿宋" w:eastAsia="仿宋" w:cs="Times New Roman"/>
          <w:sz w:val="32"/>
          <w:szCs w:val="32"/>
          <w:lang w:val="en-US" w:eastAsia="zh-CN"/>
        </w:rPr>
        <w:t>0个</w:t>
      </w:r>
      <w:r>
        <w:rPr>
          <w:rFonts w:hint="eastAsia" w:ascii="仿宋" w:hAnsi="仿宋" w:eastAsia="仿宋" w:cs="Times New Roman"/>
          <w:sz w:val="32"/>
          <w:szCs w:val="32"/>
        </w:rPr>
        <w:t>，涉及金额0万元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其中：货物类0个，涉及金额0万元，主要包括0物品0件（台、套）</w:t>
      </w:r>
      <w:r>
        <w:rPr>
          <w:rFonts w:hint="eastAsia" w:ascii="仿宋" w:hAnsi="仿宋" w:eastAsia="仿宋" w:cs="Times New Roman"/>
          <w:sz w:val="32"/>
          <w:szCs w:val="32"/>
        </w:rPr>
        <w:t>；工程类0个，涉及金额0万元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主要包括0工程0项</w:t>
      </w:r>
      <w:r>
        <w:rPr>
          <w:rFonts w:hint="eastAsia" w:ascii="仿宋" w:hAnsi="仿宋" w:eastAsia="仿宋" w:cs="Times New Roman"/>
          <w:sz w:val="32"/>
          <w:szCs w:val="32"/>
        </w:rPr>
        <w:t>；服务类0个，涉及金额0万元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主要包括0服务0项</w:t>
      </w:r>
      <w:r>
        <w:rPr>
          <w:rFonts w:hint="eastAsia" w:ascii="仿宋" w:hAnsi="仿宋" w:eastAsia="仿宋" w:cs="Times New Roman"/>
          <w:sz w:val="32"/>
          <w:szCs w:val="32"/>
        </w:rPr>
        <w:t>。</w:t>
      </w:r>
    </w:p>
    <w:p>
      <w:pPr>
        <w:jc w:val="center"/>
        <w:outlineLvl w:val="0"/>
        <w:rPr>
          <w:rFonts w:ascii="宋体" w:hAnsi="宋体"/>
          <w:sz w:val="32"/>
          <w:szCs w:val="24"/>
        </w:rPr>
      </w:pPr>
      <w:r>
        <w:rPr>
          <w:rFonts w:hint="eastAsia" w:ascii="宋体" w:hAnsi="宋体"/>
          <w:sz w:val="32"/>
          <w:szCs w:val="24"/>
        </w:rPr>
        <w:t>部门政府采购预算</w:t>
      </w:r>
    </w:p>
    <w:tbl>
      <w:tblPr>
        <w:tblStyle w:val="7"/>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sz w:val="24"/>
                <w:szCs w:val="24"/>
                <w:lang w:val="en-US" w:eastAsia="zh-CN"/>
              </w:rPr>
            </w:pPr>
            <w:r>
              <w:rPr>
                <w:rFonts w:hint="eastAsia" w:ascii="方正小标宋_GBK" w:hAnsi="Times New Roman" w:eastAsia="方正小标宋_GBK" w:cs="Times New Roman"/>
                <w:sz w:val="24"/>
                <w:szCs w:val="24"/>
                <w:lang w:val="en-US" w:eastAsia="zh-CN"/>
              </w:rPr>
              <w:t>315</w:t>
            </w:r>
            <w:r>
              <w:rPr>
                <w:rFonts w:hint="eastAsia" w:ascii="方正小标宋_GBK" w:hAnsi="Times New Roman" w:eastAsia="方正小标宋_GBK" w:cs="Times New Roman"/>
                <w:sz w:val="24"/>
                <w:szCs w:val="24"/>
              </w:rPr>
              <w:t>县</w:t>
            </w:r>
            <w:r>
              <w:rPr>
                <w:rFonts w:hint="eastAsia" w:ascii="方正小标宋_GBK" w:hAnsi="Times New Roman" w:eastAsia="方正小标宋_GBK" w:cs="Times New Roman"/>
                <w:sz w:val="24"/>
                <w:szCs w:val="24"/>
                <w:lang w:val="en-US" w:eastAsia="zh-CN"/>
              </w:rPr>
              <w:t>司法局</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autoSpaceDE w:val="0"/>
        <w:autoSpaceDN w:val="0"/>
        <w:adjustRightInd w:val="0"/>
        <w:ind w:left="198" w:firstLine="640" w:firstLineChars="200"/>
        <w:jc w:val="left"/>
        <w:rPr>
          <w:rFonts w:hint="eastAsia" w:ascii="仿宋" w:hAnsi="仿宋" w:eastAsia="仿宋" w:cs="仿宋"/>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firstLineChars="200"/>
        <w:rPr>
          <w:rFonts w:hint="eastAsia" w:ascii="仿宋" w:hAnsi="仿宋" w:eastAsia="仿宋" w:cs="Times New Roman"/>
          <w:b/>
          <w:sz w:val="32"/>
          <w:szCs w:val="32"/>
          <w:highlight w:val="red"/>
        </w:rPr>
      </w:pPr>
      <w:r>
        <w:rPr>
          <w:rFonts w:hint="eastAsia" w:ascii="仿宋" w:hAnsi="仿宋" w:eastAsia="仿宋" w:cs="仿宋"/>
          <w:sz w:val="32"/>
          <w:szCs w:val="32"/>
        </w:rPr>
        <w:t>香河县司法局上年末固定资产金额为</w:t>
      </w:r>
      <w:r>
        <w:rPr>
          <w:rFonts w:hint="eastAsia" w:ascii="仿宋" w:hAnsi="仿宋" w:eastAsia="仿宋" w:cs="仿宋"/>
          <w:sz w:val="32"/>
          <w:szCs w:val="32"/>
          <w:lang w:val="en-US" w:eastAsia="zh-CN"/>
        </w:rPr>
        <w:t>625.17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Times New Roman"/>
          <w:sz w:val="32"/>
          <w:szCs w:val="32"/>
        </w:rPr>
        <w:t>本年度各单位（处室）</w:t>
      </w:r>
      <w:r>
        <w:rPr>
          <w:rFonts w:hint="eastAsia" w:ascii="仿宋" w:hAnsi="仿宋" w:eastAsia="仿宋" w:cs="Times New Roman"/>
          <w:sz w:val="32"/>
          <w:szCs w:val="32"/>
          <w:lang w:val="en-US" w:eastAsia="zh-CN"/>
        </w:rPr>
        <w:t>无</w:t>
      </w:r>
      <w:r>
        <w:rPr>
          <w:rFonts w:hint="eastAsia" w:ascii="仿宋" w:hAnsi="仿宋" w:eastAsia="仿宋" w:cs="Times New Roman"/>
          <w:sz w:val="32"/>
          <w:szCs w:val="32"/>
        </w:rPr>
        <w:t>政府采购预算。详见下表。</w:t>
      </w:r>
    </w:p>
    <w:p>
      <w:pPr>
        <w:spacing w:line="560" w:lineRule="exact"/>
        <w:ind w:firstLine="643" w:firstLineChars="200"/>
        <w:rPr>
          <w:rFonts w:ascii="仿宋" w:hAnsi="仿宋" w:eastAsia="仿宋" w:cs="Times New Roman"/>
          <w:b/>
          <w:sz w:val="32"/>
          <w:szCs w:val="32"/>
          <w:highlight w:val="red"/>
        </w:rPr>
      </w:pP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编制部门：香河县</w:t>
            </w:r>
            <w:r>
              <w:rPr>
                <w:rFonts w:hint="eastAsia" w:ascii="宋体" w:hAnsi="宋体" w:cs="宋体"/>
                <w:kern w:val="0"/>
                <w:sz w:val="22"/>
                <w:lang w:val="en-US" w:eastAsia="zh-CN"/>
              </w:rPr>
              <w:t>司法局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8</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625.17</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1241.88</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228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0</w:t>
            </w:r>
            <w:bookmarkStart w:id="3" w:name="_GoBack"/>
            <w:bookmarkEnd w:id="3"/>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77.19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861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319.98</w:t>
            </w:r>
          </w:p>
        </w:tc>
      </w:tr>
    </w:tbl>
    <w:p>
      <w:pPr>
        <w:ind w:firstLine="640"/>
        <w:rPr>
          <w:rFonts w:hint="eastAsia" w:ascii="仿宋" w:hAnsi="仿宋" w:eastAsia="仿宋" w:cs="仿宋"/>
          <w:sz w:val="32"/>
          <w:szCs w:val="32"/>
          <w:lang w:eastAsia="zh-CN"/>
        </w:rPr>
      </w:pPr>
    </w:p>
    <w:p>
      <w:pPr>
        <w:ind w:firstLine="640"/>
        <w:rPr>
          <w:rFonts w:ascii="黑体" w:hAnsi="黑体" w:eastAsia="黑体" w:cs="Times New Roman"/>
          <w:sz w:val="32"/>
          <w:szCs w:val="32"/>
        </w:rPr>
      </w:pPr>
      <w:r>
        <w:rPr>
          <w:rFonts w:hint="eastAsia" w:ascii="黑体" w:hAnsi="黑体" w:eastAsia="黑体" w:cs="黑体"/>
          <w:sz w:val="32"/>
          <w:szCs w:val="32"/>
        </w:rPr>
        <w:t>八、名词解释</w:t>
      </w:r>
    </w:p>
    <w:p>
      <w:pPr>
        <w:pStyle w:val="13"/>
        <w:ind w:firstLine="630" w:firstLineChars="196"/>
        <w:rPr>
          <w:rFonts w:ascii="仿宋_GB2312" w:eastAsia="仿宋_GB2312"/>
          <w:b/>
          <w:bCs/>
          <w:sz w:val="32"/>
          <w:szCs w:val="32"/>
        </w:rPr>
      </w:pPr>
      <w:r>
        <w:rPr>
          <w:rFonts w:ascii="仿宋_GB2312" w:eastAsia="仿宋_GB2312" w:cs="仿宋_GB2312"/>
          <w:b/>
          <w:bCs/>
          <w:sz w:val="32"/>
          <w:szCs w:val="32"/>
        </w:rPr>
        <w:t>1</w:t>
      </w:r>
      <w:r>
        <w:rPr>
          <w:rFonts w:hint="eastAsia" w:ascii="仿宋_GB2312" w:hAnsi="FZFangSong-Z02" w:eastAsia="仿宋_GB2312" w:cs="仿宋_GB2312"/>
          <w:sz w:val="32"/>
          <w:szCs w:val="32"/>
        </w:rPr>
        <w:t>、一般公共预算拨款收入：指县级财政当年拨付的资金。</w:t>
      </w:r>
    </w:p>
    <w:p>
      <w:pPr>
        <w:pStyle w:val="13"/>
        <w:rPr>
          <w:rFonts w:ascii="仿宋_GB2312" w:hAnsi="FZFangSong-Z02" w:eastAsia="仿宋_GB2312"/>
          <w:sz w:val="32"/>
          <w:szCs w:val="32"/>
        </w:rPr>
      </w:pPr>
      <w:r>
        <w:rPr>
          <w:rFonts w:ascii="仿宋_GB2312" w:eastAsia="仿宋_GB2312" w:cs="仿宋_GB2312"/>
          <w:b/>
          <w:bCs/>
          <w:sz w:val="32"/>
          <w:szCs w:val="32"/>
        </w:rPr>
        <w:t xml:space="preserve">    2</w:t>
      </w:r>
      <w:r>
        <w:rPr>
          <w:rFonts w:hint="eastAsia" w:ascii="仿宋_GB2312" w:hAnsi="FZFangSong-Z02" w:eastAsia="仿宋_GB2312" w:cs="仿宋_GB2312"/>
          <w:sz w:val="32"/>
          <w:szCs w:val="32"/>
        </w:rPr>
        <w:t>、事业收入：指事业单位开展专业业务活动及辅助活动所取得的收入。</w:t>
      </w:r>
    </w:p>
    <w:p>
      <w:pPr>
        <w:pStyle w:val="13"/>
        <w:rPr>
          <w:rFonts w:ascii="仿宋_GB2312" w:hAnsi="FZFangSong-Z02" w:eastAsia="仿宋_GB2312"/>
          <w:sz w:val="32"/>
          <w:szCs w:val="32"/>
        </w:rPr>
      </w:pPr>
      <w:r>
        <w:rPr>
          <w:rFonts w:ascii="仿宋_GB2312" w:eastAsia="仿宋_GB2312" w:cs="仿宋_GB2312"/>
          <w:b/>
          <w:bCs/>
          <w:sz w:val="32"/>
          <w:szCs w:val="32"/>
        </w:rPr>
        <w:t xml:space="preserve">    3</w:t>
      </w:r>
      <w:r>
        <w:rPr>
          <w:rFonts w:hint="eastAsia" w:ascii="仿宋_GB2312" w:hAnsi="FZFangSong-Z02" w:eastAsia="仿宋_GB2312" w:cs="仿宋_GB2312"/>
          <w:sz w:val="32"/>
          <w:szCs w:val="32"/>
        </w:rPr>
        <w:t>、其他收入：指除上述</w:t>
      </w:r>
      <w:r>
        <w:rPr>
          <w:rFonts w:hint="eastAsia" w:ascii="仿宋_GB2312" w:eastAsia="仿宋_GB2312" w:cs="仿宋_GB2312"/>
          <w:sz w:val="32"/>
          <w:szCs w:val="32"/>
        </w:rPr>
        <w:t>“</w:t>
      </w:r>
      <w:r>
        <w:rPr>
          <w:rFonts w:hint="eastAsia" w:ascii="仿宋_GB2312" w:hAnsi="FZFangSong-Z02" w:eastAsia="仿宋_GB2312" w:cs="仿宋_GB2312"/>
          <w:sz w:val="32"/>
          <w:szCs w:val="32"/>
        </w:rPr>
        <w:t>财政拨款收入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w:t>
      </w:r>
      <w:r>
        <w:rPr>
          <w:rFonts w:hint="eastAsia" w:ascii="仿宋_GB2312" w:eastAsia="仿宋_GB2312" w:cs="仿宋_GB2312"/>
          <w:sz w:val="32"/>
          <w:szCs w:val="32"/>
        </w:rPr>
        <w:t>“</w:t>
      </w:r>
      <w:r>
        <w:rPr>
          <w:rFonts w:hint="eastAsia" w:ascii="仿宋_GB2312" w:hAnsi="FZFangSong-Z02" w:eastAsia="仿宋_GB2312" w:cs="仿宋_GB2312"/>
          <w:sz w:val="32"/>
          <w:szCs w:val="32"/>
        </w:rPr>
        <w:t>事业收入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等以外的收入。主要是按规定动用的租房收入、存款利息收入等。</w:t>
      </w:r>
    </w:p>
    <w:p>
      <w:pPr>
        <w:pStyle w:val="13"/>
        <w:rPr>
          <w:rFonts w:ascii="仿宋_GB2312" w:hAnsi="FZFangSong-Z02" w:eastAsia="仿宋_GB2312"/>
          <w:sz w:val="32"/>
          <w:szCs w:val="32"/>
        </w:rPr>
      </w:pPr>
      <w:r>
        <w:rPr>
          <w:rFonts w:ascii="仿宋_GB2312" w:eastAsia="仿宋_GB2312" w:cs="仿宋_GB2312"/>
          <w:b/>
          <w:bCs/>
          <w:sz w:val="32"/>
          <w:szCs w:val="32"/>
        </w:rPr>
        <w:t xml:space="preserve">    4</w:t>
      </w:r>
      <w:r>
        <w:rPr>
          <w:rFonts w:hint="eastAsia" w:ascii="仿宋_GB2312" w:hAnsi="FZFangSong-Z02" w:eastAsia="仿宋_GB2312" w:cs="仿宋_GB2312"/>
          <w:sz w:val="32"/>
          <w:szCs w:val="32"/>
        </w:rPr>
        <w:t>、基本支出：</w:t>
      </w:r>
      <w:r>
        <w:rPr>
          <w:rFonts w:hint="eastAsia" w:ascii="仿宋_GB2312" w:eastAsia="仿宋_GB2312" w:cs="仿宋_GB2312"/>
          <w:sz w:val="32"/>
          <w:szCs w:val="32"/>
        </w:rPr>
        <w:t>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仿宋_GB2312"/>
          <w:b/>
          <w:bCs/>
          <w:sz w:val="32"/>
          <w:szCs w:val="32"/>
        </w:rPr>
        <w:t xml:space="preserve">    5</w:t>
      </w:r>
      <w:r>
        <w:rPr>
          <w:rFonts w:hint="eastAsia" w:ascii="仿宋_GB2312" w:hAnsi="FZFangSong-Z02" w:eastAsia="仿宋_GB2312" w:cs="仿宋_GB2312"/>
          <w:sz w:val="32"/>
          <w:szCs w:val="32"/>
        </w:rPr>
        <w:t>、项目支出：</w:t>
      </w:r>
      <w:r>
        <w:rPr>
          <w:rFonts w:hint="eastAsia" w:ascii="仿宋_GB2312" w:eastAsia="仿宋_GB2312" w:cs="仿宋_GB2312"/>
          <w:sz w:val="32"/>
          <w:szCs w:val="32"/>
        </w:rPr>
        <w:t>指在基本支出之外为完成特定行政任务和事业发展目标所发生的支出。</w:t>
      </w:r>
    </w:p>
    <w:p>
      <w:pPr>
        <w:pStyle w:val="13"/>
        <w:rPr>
          <w:rFonts w:ascii="仿宋_GB2312" w:eastAsia="仿宋_GB2312"/>
          <w:sz w:val="32"/>
          <w:szCs w:val="32"/>
        </w:rPr>
      </w:pPr>
      <w:r>
        <w:rPr>
          <w:rFonts w:ascii="仿宋_GB2312" w:eastAsia="仿宋_GB2312" w:cs="仿宋_GB2312"/>
          <w:b/>
          <w:bCs/>
          <w:sz w:val="32"/>
          <w:szCs w:val="32"/>
        </w:rPr>
        <w:t xml:space="preserve">    6</w:t>
      </w:r>
      <w:r>
        <w:rPr>
          <w:rFonts w:hint="eastAsia" w:ascii="仿宋_GB2312" w:hAnsi="FZFangSong-Z02" w:eastAsia="仿宋_GB2312" w:cs="仿宋_GB2312"/>
          <w:sz w:val="32"/>
          <w:szCs w:val="32"/>
        </w:rPr>
        <w:t>、上缴上级支出：</w:t>
      </w:r>
      <w:r>
        <w:rPr>
          <w:rFonts w:hint="eastAsia" w:ascii="仿宋_GB2312" w:eastAsia="仿宋_GB2312" w:cs="仿宋_GB2312"/>
          <w:sz w:val="32"/>
          <w:szCs w:val="32"/>
        </w:rPr>
        <w:t>指下级单位上缴上级的支出。</w:t>
      </w:r>
    </w:p>
    <w:p>
      <w:pPr>
        <w:pStyle w:val="13"/>
        <w:rPr>
          <w:rFonts w:ascii="仿宋_GB2312" w:hAnsi="FZFangSong-Z02" w:eastAsia="仿宋_GB2312"/>
          <w:sz w:val="32"/>
          <w:szCs w:val="32"/>
        </w:rPr>
      </w:pPr>
      <w:r>
        <w:rPr>
          <w:rFonts w:ascii="仿宋_GB2312" w:eastAsia="仿宋_GB2312" w:cs="仿宋_GB2312"/>
          <w:b/>
          <w:bCs/>
          <w:sz w:val="32"/>
          <w:szCs w:val="32"/>
        </w:rPr>
        <w:t xml:space="preserve">    7</w:t>
      </w:r>
      <w:r>
        <w:rPr>
          <w:rFonts w:hint="eastAsia" w:ascii="仿宋_GB2312" w:hAnsi="FZFangSong-Z02" w:eastAsia="仿宋_GB2312" w:cs="仿宋_GB2312"/>
          <w:sz w:val="32"/>
          <w:szCs w:val="32"/>
        </w:rPr>
        <w:t>、</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经费：纳入县级财政预算管理的</w:t>
      </w:r>
      <w:r>
        <w:rPr>
          <w:rFonts w:hint="eastAsia" w:ascii="仿宋_GB2312" w:eastAsia="仿宋_GB2312" w:cs="仿宋_GB2312"/>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sz w:val="32"/>
          <w:szCs w:val="32"/>
        </w:rPr>
        <w:t>”</w:t>
      </w:r>
      <w:r>
        <w:rPr>
          <w:rFonts w:hint="eastAsia" w:ascii="仿宋_GB2312" w:hAnsi="FZFangSong-Z02" w:eastAsia="仿宋_GB2312" w:cs="仿宋_GB231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cs="Times New Roman"/>
          <w:sz w:val="32"/>
          <w:szCs w:val="32"/>
        </w:rPr>
      </w:pPr>
      <w:r>
        <w:rPr>
          <w:rFonts w:ascii="仿宋_GB2312" w:eastAsia="仿宋_GB2312" w:cs="仿宋_GB2312"/>
          <w:b/>
          <w:bCs/>
          <w:sz w:val="32"/>
          <w:szCs w:val="32"/>
        </w:rPr>
        <w:t>8</w:t>
      </w:r>
      <w:r>
        <w:rPr>
          <w:rFonts w:hint="eastAsia" w:ascii="仿宋_GB2312" w:hAnsi="FZFangSong-Z02" w:eastAsia="仿宋_GB2312" w:cs="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s="仿宋_GB2312"/>
          <w:sz w:val="32"/>
          <w:szCs w:val="32"/>
        </w:rPr>
        <w:t>其他费用。</w:t>
      </w:r>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hint="eastAsia"/>
        </w:rPr>
      </w:pPr>
      <w:r>
        <w:rPr>
          <w:rStyle w:val="10"/>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31B0C"/>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53629"/>
    <w:rsid w:val="003A094E"/>
    <w:rsid w:val="003E1A7F"/>
    <w:rsid w:val="003E23A5"/>
    <w:rsid w:val="003F49E7"/>
    <w:rsid w:val="00415CB8"/>
    <w:rsid w:val="00445DD1"/>
    <w:rsid w:val="00450F8F"/>
    <w:rsid w:val="00451871"/>
    <w:rsid w:val="00472923"/>
    <w:rsid w:val="00497870"/>
    <w:rsid w:val="004B37C2"/>
    <w:rsid w:val="004E1D54"/>
    <w:rsid w:val="004E3066"/>
    <w:rsid w:val="004E74CD"/>
    <w:rsid w:val="004F6123"/>
    <w:rsid w:val="00520CEC"/>
    <w:rsid w:val="005576F0"/>
    <w:rsid w:val="0056326C"/>
    <w:rsid w:val="005632E5"/>
    <w:rsid w:val="00572603"/>
    <w:rsid w:val="00573562"/>
    <w:rsid w:val="00595C93"/>
    <w:rsid w:val="005C1AEB"/>
    <w:rsid w:val="005C248A"/>
    <w:rsid w:val="005D68FF"/>
    <w:rsid w:val="006009A1"/>
    <w:rsid w:val="00614A29"/>
    <w:rsid w:val="00646686"/>
    <w:rsid w:val="00687D3D"/>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77DAB"/>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1273"/>
    <w:rsid w:val="00B043C4"/>
    <w:rsid w:val="00B20712"/>
    <w:rsid w:val="00B43238"/>
    <w:rsid w:val="00B4408C"/>
    <w:rsid w:val="00B75216"/>
    <w:rsid w:val="00B91D52"/>
    <w:rsid w:val="00B93171"/>
    <w:rsid w:val="00BA1ACD"/>
    <w:rsid w:val="00BA408B"/>
    <w:rsid w:val="00BA6C50"/>
    <w:rsid w:val="00BC14E2"/>
    <w:rsid w:val="00C20230"/>
    <w:rsid w:val="00C21BCB"/>
    <w:rsid w:val="00C24BF5"/>
    <w:rsid w:val="00C3355D"/>
    <w:rsid w:val="00C720E3"/>
    <w:rsid w:val="00C8569A"/>
    <w:rsid w:val="00CA7176"/>
    <w:rsid w:val="00CD2773"/>
    <w:rsid w:val="00CD326E"/>
    <w:rsid w:val="00CE143B"/>
    <w:rsid w:val="00CE403B"/>
    <w:rsid w:val="00CE5192"/>
    <w:rsid w:val="00CF2D57"/>
    <w:rsid w:val="00D361CD"/>
    <w:rsid w:val="00D507AC"/>
    <w:rsid w:val="00D80DB8"/>
    <w:rsid w:val="00DA2FDB"/>
    <w:rsid w:val="00DD2E66"/>
    <w:rsid w:val="00E167C7"/>
    <w:rsid w:val="00E84FEB"/>
    <w:rsid w:val="00EC47F6"/>
    <w:rsid w:val="00ED1552"/>
    <w:rsid w:val="00EE1B43"/>
    <w:rsid w:val="00F153EF"/>
    <w:rsid w:val="00F50E15"/>
    <w:rsid w:val="00F55C00"/>
    <w:rsid w:val="00F61055"/>
    <w:rsid w:val="00F66032"/>
    <w:rsid w:val="00F71E48"/>
    <w:rsid w:val="00F934E8"/>
    <w:rsid w:val="00F958C2"/>
    <w:rsid w:val="00FB02E7"/>
    <w:rsid w:val="00FB4CD3"/>
    <w:rsid w:val="00FC6357"/>
    <w:rsid w:val="00FD2081"/>
    <w:rsid w:val="00FE3D85"/>
    <w:rsid w:val="01D61B9D"/>
    <w:rsid w:val="02C6590C"/>
    <w:rsid w:val="04217117"/>
    <w:rsid w:val="04EB4EA0"/>
    <w:rsid w:val="052B1BCF"/>
    <w:rsid w:val="05450916"/>
    <w:rsid w:val="08860034"/>
    <w:rsid w:val="08E006DA"/>
    <w:rsid w:val="08F27BBE"/>
    <w:rsid w:val="0A580B5A"/>
    <w:rsid w:val="0AA62E6B"/>
    <w:rsid w:val="0DD11217"/>
    <w:rsid w:val="0FDE59F3"/>
    <w:rsid w:val="11C133BF"/>
    <w:rsid w:val="13167CBE"/>
    <w:rsid w:val="16F37710"/>
    <w:rsid w:val="17DA24D4"/>
    <w:rsid w:val="17EE4CDE"/>
    <w:rsid w:val="195F52CA"/>
    <w:rsid w:val="1A7C0444"/>
    <w:rsid w:val="1BCD3895"/>
    <w:rsid w:val="1C014AA3"/>
    <w:rsid w:val="1D6C7801"/>
    <w:rsid w:val="1DD54C39"/>
    <w:rsid w:val="203D72C2"/>
    <w:rsid w:val="2056076F"/>
    <w:rsid w:val="2224330A"/>
    <w:rsid w:val="23E45984"/>
    <w:rsid w:val="26000206"/>
    <w:rsid w:val="264E2F48"/>
    <w:rsid w:val="26800683"/>
    <w:rsid w:val="27CF0926"/>
    <w:rsid w:val="28106416"/>
    <w:rsid w:val="28F05D58"/>
    <w:rsid w:val="2AC470BA"/>
    <w:rsid w:val="2B167802"/>
    <w:rsid w:val="2C1B36EF"/>
    <w:rsid w:val="2C857464"/>
    <w:rsid w:val="2E3561E3"/>
    <w:rsid w:val="2FBA2A9E"/>
    <w:rsid w:val="328536DE"/>
    <w:rsid w:val="32D76B08"/>
    <w:rsid w:val="34A26FD6"/>
    <w:rsid w:val="35925C01"/>
    <w:rsid w:val="35A83EE4"/>
    <w:rsid w:val="3717520B"/>
    <w:rsid w:val="38083232"/>
    <w:rsid w:val="39CA175B"/>
    <w:rsid w:val="39E8317B"/>
    <w:rsid w:val="3A68410F"/>
    <w:rsid w:val="3B2B2BEC"/>
    <w:rsid w:val="3B3045B4"/>
    <w:rsid w:val="3C116298"/>
    <w:rsid w:val="3C293AD0"/>
    <w:rsid w:val="3E5F0689"/>
    <w:rsid w:val="40546736"/>
    <w:rsid w:val="435922B1"/>
    <w:rsid w:val="44A9226E"/>
    <w:rsid w:val="44D549E7"/>
    <w:rsid w:val="465B3B48"/>
    <w:rsid w:val="46B645CD"/>
    <w:rsid w:val="48F61E7A"/>
    <w:rsid w:val="4A1E0865"/>
    <w:rsid w:val="4B333E15"/>
    <w:rsid w:val="4BCE4897"/>
    <w:rsid w:val="4C1D68BC"/>
    <w:rsid w:val="4D1E699E"/>
    <w:rsid w:val="522F4939"/>
    <w:rsid w:val="528D254E"/>
    <w:rsid w:val="53E61FDF"/>
    <w:rsid w:val="56F30757"/>
    <w:rsid w:val="57AB7E39"/>
    <w:rsid w:val="5ACF21C7"/>
    <w:rsid w:val="5CC43EC2"/>
    <w:rsid w:val="5DC605EA"/>
    <w:rsid w:val="5DE8401F"/>
    <w:rsid w:val="602D3221"/>
    <w:rsid w:val="61364E16"/>
    <w:rsid w:val="619B6458"/>
    <w:rsid w:val="647D6166"/>
    <w:rsid w:val="654973CA"/>
    <w:rsid w:val="656A218E"/>
    <w:rsid w:val="664D653F"/>
    <w:rsid w:val="67CC0F35"/>
    <w:rsid w:val="67CF5192"/>
    <w:rsid w:val="6898323F"/>
    <w:rsid w:val="68D42FDA"/>
    <w:rsid w:val="73167D7F"/>
    <w:rsid w:val="734F3A09"/>
    <w:rsid w:val="75AE18A7"/>
    <w:rsid w:val="76725BA0"/>
    <w:rsid w:val="7724554D"/>
    <w:rsid w:val="777E45F6"/>
    <w:rsid w:val="7C8967C0"/>
    <w:rsid w:val="7CD648D9"/>
    <w:rsid w:val="7CD95DD7"/>
    <w:rsid w:val="7E8C75BD"/>
    <w:rsid w:val="7F8722B9"/>
    <w:rsid w:val="7FA11D55"/>
    <w:rsid w:val="7FC47A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footnote text"/>
    <w:basedOn w:val="1"/>
    <w:semiHidden/>
    <w:uiPriority w:val="0"/>
    <w:pPr>
      <w:snapToGrid w:val="0"/>
      <w:jc w:val="left"/>
    </w:pPr>
    <w:rPr>
      <w:sz w:val="18"/>
      <w:szCs w:val="18"/>
    </w:rPr>
  </w:style>
  <w:style w:type="paragraph" w:styleId="6">
    <w:name w:val="toc 2"/>
    <w:basedOn w:val="1"/>
    <w:next w:val="1"/>
    <w:semiHidden/>
    <w:qFormat/>
    <w:uiPriority w:val="99"/>
    <w:pPr>
      <w:ind w:left="420" w:leftChars="200"/>
    </w:pPr>
    <w:rPr>
      <w:rFonts w:ascii="Times New Roman" w:hAnsi="Times New Roman" w:cs="Times New Roman"/>
    </w:rPr>
  </w:style>
  <w:style w:type="character" w:styleId="9">
    <w:name w:val="page number"/>
    <w:basedOn w:val="8"/>
    <w:qFormat/>
    <w:uiPriority w:val="0"/>
  </w:style>
  <w:style w:type="character" w:styleId="10">
    <w:name w:val="footnote reference"/>
    <w:basedOn w:val="8"/>
    <w:semiHidden/>
    <w:qFormat/>
    <w:uiPriority w:val="0"/>
    <w:rPr>
      <w:vertAlign w:val="superscript"/>
    </w:rPr>
  </w:style>
  <w:style w:type="character" w:customStyle="1" w:styleId="11">
    <w:name w:val="Footer Char"/>
    <w:basedOn w:val="8"/>
    <w:link w:val="2"/>
    <w:qFormat/>
    <w:locked/>
    <w:uiPriority w:val="99"/>
    <w:rPr>
      <w:rFonts w:ascii="Times New Roman" w:hAnsi="Times New Roman" w:eastAsia="宋体" w:cs="Times New Roman"/>
      <w:sz w:val="18"/>
      <w:szCs w:val="18"/>
    </w:rPr>
  </w:style>
  <w:style w:type="character" w:customStyle="1" w:styleId="12">
    <w:name w:val="Header Char"/>
    <w:basedOn w:val="8"/>
    <w:link w:val="3"/>
    <w:qFormat/>
    <w:locked/>
    <w:uiPriority w:val="99"/>
    <w:rPr>
      <w:rFonts w:ascii="Times New Roman" w:hAnsi="Times New Roman" w:eastAsia="宋体" w:cs="Times New Roman"/>
      <w:sz w:val="18"/>
      <w:szCs w:val="18"/>
    </w:rPr>
  </w:style>
  <w:style w:type="paragraph" w:customStyle="1" w:styleId="13">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11</Pages>
  <Words>694</Words>
  <Characters>3960</Characters>
  <Lines>0</Lines>
  <Paragraphs>0</Paragraphs>
  <TotalTime>28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2018-03-27T06:22:00Z</dcterms:created>
  <dc:creator>guest</dc:creator>
  <cp:lastModifiedBy>Lenovo</cp:lastModifiedBy>
  <dcterms:modified xsi:type="dcterms:W3CDTF">2021-05-20T07:00:01Z</dcterms:modified>
  <dc:title>香河县司法局2018年部门预算信息公开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